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Регламенты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Подготовлено для [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название Компании</w:t>
      </w:r>
      <w:r w:rsidDel="00000000" w:rsidR="00000000" w:rsidRPr="00000000">
        <w:rPr>
          <w:i w:val="1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Версия 1.0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16 ноября 2009 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Москва, 2009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 документе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7"/>
        <w:gridCol w:w="5924"/>
        <w:tblGridChange w:id="0">
          <w:tblGrid>
            <w:gridCol w:w="3697"/>
            <w:gridCol w:w="592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Регламенты процесса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Проект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 последнего изменения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История изменений</w:t>
      </w:r>
    </w:p>
    <w:tbl>
      <w:tblPr>
        <w:tblStyle w:val="Table2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"/>
        <w:gridCol w:w="1784"/>
        <w:gridCol w:w="3265"/>
        <w:gridCol w:w="1807"/>
        <w:gridCol w:w="1961"/>
        <w:tblGridChange w:id="0">
          <w:tblGrid>
            <w:gridCol w:w="804"/>
            <w:gridCol w:w="1784"/>
            <w:gridCol w:w="3265"/>
            <w:gridCol w:w="1807"/>
            <w:gridCol w:w="1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N/N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Начальная версия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Лист визирования</w:t>
      </w:r>
    </w:p>
    <w:tbl>
      <w:tblPr>
        <w:tblStyle w:val="Table3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9"/>
        <w:gridCol w:w="3202"/>
        <w:gridCol w:w="3180"/>
        <w:tblGridChange w:id="0">
          <w:tblGrid>
            <w:gridCol w:w="3239"/>
            <w:gridCol w:w="3202"/>
            <w:gridCol w:w="3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Ф.И.О. ответственного лица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Подпись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before="0" w:line="36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hyperlink w:anchor="_3znysh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bookmarkStart w:colFirst="0" w:colLast="0" w:name="_1fob9te" w:id="2"/>
      <w:bookmarkEnd w:id="2"/>
      <w:hyperlink w:anchor="_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</w:t>
        </w:r>
      </w:hyperlink>
      <w:hyperlink w:anchor="_3znysh7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Введение</w:t>
        </w:r>
      </w:hyperlink>
      <w:hyperlink w:anchor="_2et92p0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2et92p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1.1</w:t>
        </w:r>
      </w:hyperlink>
      <w:hyperlink w:anchor="_2et92p0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Назначение документа</w:t>
        </w:r>
      </w:hyperlink>
      <w:hyperlink w:anchor="_tyjcwt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tyjcwt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tyjcwt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1.2</w:t>
        </w:r>
      </w:hyperlink>
      <w:hyperlink w:anchor="_tyjcwt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tyjcwt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Целевая аудитория</w:t>
        </w:r>
      </w:hyperlink>
      <w:hyperlink w:anchor="_3dy6vkm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3dy6vkm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1.3</w:t>
        </w:r>
      </w:hyperlink>
      <w:hyperlink w:anchor="_3dy6vkm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Нормативные документы</w:t>
        </w:r>
      </w:hyperlink>
      <w:hyperlink w:anchor="_1t3h5sf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1t3h5sf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1.4</w:t>
        </w:r>
      </w:hyperlink>
      <w:hyperlink w:anchor="_1t3h5sf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Краткое описание процесса</w:t>
        </w:r>
      </w:hyperlink>
      <w:hyperlink w:anchor="_4d34og8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4d34og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_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</w:t>
        </w:r>
      </w:hyperlink>
      <w:hyperlink w:anchor="_4d34og8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Регламент [</w:t>
        </w:r>
      </w:hyperlink>
      <w:hyperlink w:anchor="_4d34og8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название регламента</w:t>
        </w:r>
      </w:hyperlink>
      <w:hyperlink w:anchor="_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w:anchor="_2s8eyo1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2s8eyo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2s8eyo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2.1</w:t>
        </w:r>
      </w:hyperlink>
      <w:hyperlink w:anchor="_2s8eyo1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2s8eyo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Входы, выходы и роли регламента</w:t>
        </w:r>
      </w:hyperlink>
      <w:hyperlink w:anchor="_17dp8vu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17dp8vu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17dp8vu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2.2</w:t>
        </w:r>
      </w:hyperlink>
      <w:hyperlink w:anchor="_17dp8vu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17dp8vu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Графическая схема</w:t>
        </w:r>
      </w:hyperlink>
      <w:hyperlink w:anchor="_3rdcrjn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3rdcrjn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_3rdcrjn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2.3</w:t>
        </w:r>
      </w:hyperlink>
      <w:hyperlink w:anchor="_3rdcrjn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3rdcrjn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Описание работ</w:t>
        </w:r>
      </w:hyperlink>
      <w:hyperlink w:anchor="_26in1rg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_26in1rg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_26in1rg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3</w:t>
        </w:r>
      </w:hyperlink>
      <w:hyperlink w:anchor="_26in1rg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_26in1rg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Регламент [</w:t>
        </w:r>
      </w:hyperlink>
      <w:hyperlink w:anchor="_26in1rg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название сделующего регламента</w:t>
        </w:r>
      </w:hyperlink>
      <w:hyperlink w:anchor="_26in1rg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r:id="rId5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right" w:pos="10065"/>
        </w:tabs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numPr>
          <w:ilvl w:val="0"/>
          <w:numId w:val="6"/>
        </w:numPr>
        <w:ind w:left="432" w:hanging="432"/>
        <w:contextualSpacing w:val="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>
      <w:pPr>
        <w:pStyle w:val="Heading2"/>
        <w:numPr>
          <w:ilvl w:val="1"/>
          <w:numId w:val="6"/>
        </w:numPr>
        <w:ind w:left="576" w:hanging="576"/>
        <w:rPr>
          <w:rFonts w:ascii="Calibri" w:cs="Calibri" w:eastAsia="Calibri" w:hAnsi="Calibri"/>
          <w:b w:val="1"/>
          <w:smallCaps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Назначение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Данный документ описывает работы, выполняемые в рамках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(далее – Процесса).</w:t>
      </w:r>
    </w:p>
    <w:p w:rsidR="00000000" w:rsidDel="00000000" w:rsidP="00000000" w:rsidRDefault="00000000" w:rsidRPr="00000000">
      <w:pPr>
        <w:pStyle w:val="Heading2"/>
        <w:numPr>
          <w:ilvl w:val="1"/>
          <w:numId w:val="6"/>
        </w:numPr>
        <w:ind w:left="576" w:hanging="576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Целевая аудитория настоящего документа: менеджеры процессов эксплуатации ИТ, руководители отделов администрирования, инженеры по эксплуатации программных продуктов, пользователи ИТ-услуг, [</w:t>
      </w:r>
      <w:r w:rsidDel="00000000" w:rsidR="00000000" w:rsidRPr="00000000">
        <w:rPr>
          <w:color w:val="000000"/>
          <w:highlight w:val="yellow"/>
          <w:rtl w:val="0"/>
        </w:rPr>
        <w:t xml:space="preserve">добавить целевые аудитории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2"/>
        <w:numPr>
          <w:ilvl w:val="1"/>
          <w:numId w:val="6"/>
        </w:numPr>
        <w:ind w:left="576" w:hanging="576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Нормативные документы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Разработка настоящего документа проводилась с использованием следующей нормативной литературы, стандартов, практик, и других основополагающих документов, в том числе приказов и инструкций, принятых в Компании.</w:t>
      </w:r>
    </w:p>
    <w:tbl>
      <w:tblPr>
        <w:tblStyle w:val="Table4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4191"/>
        <w:gridCol w:w="1559"/>
        <w:gridCol w:w="3559"/>
        <w:tblGridChange w:id="0">
          <w:tblGrid>
            <w:gridCol w:w="771"/>
            <w:gridCol w:w="4191"/>
            <w:gridCol w:w="1559"/>
            <w:gridCol w:w="3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Версия / 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Положение о процессе [название процесса]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1.0 / 16.11.2009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numPr>
          <w:ilvl w:val="1"/>
          <w:numId w:val="7"/>
        </w:numPr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Краткое описание процесса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Процесс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предназначен для [</w:t>
      </w:r>
      <w:r w:rsidDel="00000000" w:rsidR="00000000" w:rsidRPr="00000000">
        <w:rPr>
          <w:color w:val="000000"/>
          <w:highlight w:val="yellow"/>
          <w:rtl w:val="0"/>
        </w:rPr>
        <w:t xml:space="preserve">назначение процесса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Целью Процесса является [</w:t>
      </w:r>
      <w:r w:rsidDel="00000000" w:rsidR="00000000" w:rsidRPr="00000000">
        <w:rPr>
          <w:color w:val="000000"/>
          <w:highlight w:val="yellow"/>
          <w:rtl w:val="0"/>
        </w:rPr>
        <w:t xml:space="preserve">вписать цели процесса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1"/>
        <w:ind w:left="0"/>
        <w:contextualSpacing w:val="0"/>
      </w:pPr>
      <w:bookmarkStart w:colFirst="0" w:colLast="0" w:name="_lvwcbaxgqh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7"/>
        </w:numPr>
        <w:contextualSpacing w:val="1"/>
        <w:rPr/>
      </w:pPr>
      <w:bookmarkStart w:colFirst="0" w:colLast="0" w:name="_4d34og8" w:id="9"/>
      <w:bookmarkEnd w:id="9"/>
      <w:r w:rsidDel="00000000" w:rsidR="00000000" w:rsidRPr="00000000">
        <w:rPr>
          <w:rtl w:val="0"/>
        </w:rPr>
        <w:t xml:space="preserve">Регламент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регламента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Style w:val="Heading2"/>
        <w:numPr>
          <w:ilvl w:val="1"/>
          <w:numId w:val="7"/>
        </w:numPr>
        <w:rPr/>
      </w:pPr>
      <w:bookmarkStart w:colFirst="0" w:colLast="0" w:name="_2s8eyo1" w:id="10"/>
      <w:bookmarkEnd w:id="10"/>
      <w:r w:rsidDel="00000000" w:rsidR="00000000" w:rsidRPr="00000000">
        <w:rPr>
          <w:rtl w:val="0"/>
        </w:rPr>
        <w:t xml:space="preserve">Входы, выходы и роли регламента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Табл.1. Входы регламента</w:t>
      </w:r>
    </w:p>
    <w:tbl>
      <w:tblPr>
        <w:tblStyle w:val="Table5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2835"/>
        <w:gridCol w:w="3701"/>
        <w:tblGridChange w:id="0">
          <w:tblGrid>
            <w:gridCol w:w="771"/>
            <w:gridCol w:w="2773"/>
            <w:gridCol w:w="2835"/>
            <w:gridCol w:w="37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Описание входа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Источник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Формат / 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входа (взять из Положения о Процессе)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источника (взять из Положения о Процессе)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формат входа (взять из Положения о Процессе) и 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Табл.2. Выходы регламента</w:t>
      </w:r>
    </w:p>
    <w:tbl>
      <w:tblPr>
        <w:tblStyle w:val="Table6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2835"/>
        <w:gridCol w:w="3701"/>
        <w:tblGridChange w:id="0">
          <w:tblGrid>
            <w:gridCol w:w="771"/>
            <w:gridCol w:w="2773"/>
            <w:gridCol w:w="2835"/>
            <w:gridCol w:w="37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Описание выхода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Потребитель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Формат/Комментарии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выхода (взять из Положения о Процессе)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потребителя (взять из Положения о Процессе)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формат выхода (взять из Положения о Процессе) и дополнительные комментарии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Табл.3. Роли, участвующие в работах</w:t>
      </w:r>
    </w:p>
    <w:tbl>
      <w:tblPr>
        <w:tblStyle w:val="Table7"/>
        <w:bidi w:val="0"/>
        <w:tblW w:w="1006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2773"/>
        <w:gridCol w:w="6521"/>
        <w:tblGridChange w:id="0">
          <w:tblGrid>
            <w:gridCol w:w="771"/>
            <w:gridCol w:w="2773"/>
            <w:gridCol w:w="65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роли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Функции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 в рамках этого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 в рамках этого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Краткое описание функций в рамках этого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7"/>
        </w:numPr>
        <w:rPr/>
      </w:pPr>
      <w:bookmarkStart w:colFirst="0" w:colLast="0" w:name="_17dp8vu" w:id="11"/>
      <w:bookmarkEnd w:id="11"/>
      <w:r w:rsidDel="00000000" w:rsidR="00000000" w:rsidRPr="00000000">
        <w:rPr>
          <w:rtl w:val="0"/>
        </w:rPr>
        <w:t xml:space="preserve">Графическая схема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019425" cy="599524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995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7"/>
        </w:numPr>
        <w:rPr/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Описание работ</w:t>
      </w:r>
    </w:p>
    <w:tbl>
      <w:tblPr>
        <w:tblStyle w:val="Table8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"/>
        <w:gridCol w:w="1848"/>
        <w:gridCol w:w="1369"/>
        <w:gridCol w:w="2376"/>
        <w:gridCol w:w="1701"/>
        <w:gridCol w:w="2065"/>
        <w:tblGridChange w:id="0">
          <w:tblGrid>
            <w:gridCol w:w="721"/>
            <w:gridCol w:w="1848"/>
            <w:gridCol w:w="1369"/>
            <w:gridCol w:w="2376"/>
            <w:gridCol w:w="1701"/>
            <w:gridCol w:w="20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Действие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Роль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Вход/Выход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Шаг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Роль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Выход: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название выхода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время, затрачиваемое на работы, например, 20 минут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течении 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время, за которое работа должна быть выполнена, с предыдущего шага, например, 2 рабочих дня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дополнительные комментарии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pStyle w:val="Heading1"/>
        <w:ind w:left="0"/>
        <w:contextualSpacing w:val="0"/>
      </w:pPr>
      <w:bookmarkStart w:colFirst="0" w:colLast="0" w:name="_ivjdtfdkss0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7"/>
        </w:numPr>
        <w:contextualSpacing w:val="1"/>
        <w:rPr/>
      </w:pPr>
      <w:bookmarkStart w:colFirst="0" w:colLast="0" w:name="_26in1rg" w:id="14"/>
      <w:bookmarkEnd w:id="14"/>
      <w:r w:rsidDel="00000000" w:rsidR="00000000" w:rsidRPr="00000000">
        <w:rPr>
          <w:rtl w:val="0"/>
        </w:rPr>
        <w:t xml:space="preserve">Регламент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сделующего регламента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Далее так же, как в разделе 2.</w:t>
      </w:r>
    </w:p>
    <w:sectPr>
      <w:headerReference r:id="rId9" w:type="default"/>
      <w:footerReference r:id="rId10" w:type="default"/>
      <w:pgSz w:h="15840" w:w="12240"/>
      <w:pgMar w:bottom="1134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0"/>
      <w:bidi w:val="0"/>
      <w:tblW w:w="9621.0" w:type="dxa"/>
      <w:jc w:val="left"/>
      <w:tblInd w:w="45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79"/>
      <w:gridCol w:w="3179"/>
      <w:gridCol w:w="3263"/>
      <w:tblGridChange w:id="0">
        <w:tblGrid>
          <w:gridCol w:w="3179"/>
          <w:gridCol w:w="3179"/>
          <w:gridCol w:w="326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720" w:before="1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9"/>
      <w:bidi w:val="0"/>
      <w:tblW w:w="11341.0" w:type="dxa"/>
      <w:jc w:val="left"/>
      <w:tblInd w:w="-71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11"/>
      <w:gridCol w:w="3402"/>
      <w:gridCol w:w="3828"/>
      <w:tblGridChange w:id="0">
        <w:tblGrid>
          <w:gridCol w:w="4111"/>
          <w:gridCol w:w="3402"/>
          <w:gridCol w:w="3828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Регламенты процесса     [</w:t>
          </w:r>
          <w:r w:rsidDel="00000000" w:rsidR="00000000" w:rsidRPr="00000000">
            <w:rPr>
              <w:rFonts w:ascii="Calibri" w:cs="Calibri" w:eastAsia="Calibri" w:hAnsi="Calibri"/>
              <w:b w:val="0"/>
              <w:color w:val="000000"/>
              <w:sz w:val="24"/>
              <w:szCs w:val="24"/>
              <w:highlight w:val="yellow"/>
              <w:rtl w:val="0"/>
            </w:rPr>
            <w:t xml:space="preserve">название процесса</w:t>
          </w: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7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567" w:right="0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88" w:lineRule="auto"/>
      <w:ind w:left="432" w:hanging="432"/>
      <w:contextualSpacing w:val="1"/>
      <w:jc w:val="both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88" w:lineRule="auto"/>
      <w:ind w:left="576" w:hanging="576"/>
      <w:jc w:val="both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567" w:firstLine="0"/>
      <w:jc w:val="both"/>
    </w:pPr>
    <w:rPr>
      <w:rFonts w:ascii="Calibri" w:cs="Calibri" w:eastAsia="Calibri" w:hAnsi="Calibri"/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71" w:lineRule="auto"/>
      <w:ind w:left="864" w:hanging="864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="271" w:lineRule="auto"/>
      <w:ind w:left="1008" w:hanging="1008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71" w:lineRule="auto"/>
      <w:ind w:left="1152" w:hanging="1152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120" w:line="240" w:lineRule="auto"/>
      <w:ind w:left="567" w:firstLine="567"/>
      <w:jc w:val="both"/>
    </w:pPr>
    <w:rPr>
      <w:rFonts w:ascii="Calibri" w:cs="Calibri" w:eastAsia="Calibri" w:hAnsi="Calibri"/>
      <w:b w:val="0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288" w:lineRule="auto"/>
      <w:ind w:left="567" w:firstLine="567"/>
      <w:jc w:val="both"/>
    </w:pPr>
    <w:rPr>
      <w:rFonts w:ascii="Calibri" w:cs="Calibri" w:eastAsia="Calibri" w:hAnsi="Calibri"/>
      <w:b w:val="0"/>
      <w:i w:val="1"/>
      <w:smallCaps w:val="1"/>
      <w:color w:val="666666"/>
      <w:sz w:val="28"/>
      <w:szCs w:val="28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://#_Toc419717276" TargetMode="External"/><Relationship Id="rId6" Type="http://schemas.openxmlformats.org/officeDocument/2006/relationships/hyperlink" Target="http://#_Toc419717276" TargetMode="External"/><Relationship Id="rId7" Type="http://schemas.openxmlformats.org/officeDocument/2006/relationships/hyperlink" Target="http://#_Toc419717276" TargetMode="External"/><Relationship Id="rId8" Type="http://schemas.openxmlformats.org/officeDocument/2006/relationships/image" Target="media/image01.png"/></Relationships>
</file>