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Положение о процессе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Подготовлено для [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Название Компании</w:t>
      </w:r>
      <w:r w:rsidDel="00000000" w:rsidR="00000000" w:rsidRPr="00000000">
        <w:rPr>
          <w:i w:val="1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Версия 1.0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16 ноября 2009 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Москва, 2009</w:t>
      </w:r>
    </w:p>
    <w:p w:rsidR="00000000" w:rsidDel="00000000" w:rsidP="00000000" w:rsidRDefault="00000000" w:rsidRPr="00000000">
      <w:pPr>
        <w:ind w:left="993" w:firstLine="140.9999999999999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firstLine="140.99999999999994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Информация о документе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8"/>
        <w:gridCol w:w="5923"/>
        <w:tblGridChange w:id="0">
          <w:tblGrid>
            <w:gridCol w:w="3698"/>
            <w:gridCol w:w="592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Положение о процессе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Проект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 последнего изменения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16.11.2009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История изменений</w:t>
      </w:r>
    </w:p>
    <w:tbl>
      <w:tblPr>
        <w:tblStyle w:val="Table2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"/>
        <w:gridCol w:w="1784"/>
        <w:gridCol w:w="3265"/>
        <w:gridCol w:w="1807"/>
        <w:gridCol w:w="1961"/>
        <w:tblGridChange w:id="0">
          <w:tblGrid>
            <w:gridCol w:w="804"/>
            <w:gridCol w:w="1784"/>
            <w:gridCol w:w="3265"/>
            <w:gridCol w:w="1807"/>
            <w:gridCol w:w="1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N/N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16.11.2009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Начальная версия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Лист визирования</w:t>
      </w:r>
    </w:p>
    <w:tbl>
      <w:tblPr>
        <w:tblStyle w:val="Table3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9"/>
        <w:gridCol w:w="3202"/>
        <w:gridCol w:w="3180"/>
        <w:tblGridChange w:id="0">
          <w:tblGrid>
            <w:gridCol w:w="3239"/>
            <w:gridCol w:w="3202"/>
            <w:gridCol w:w="3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Ф.И.О. ответственного лица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Подпись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before="0" w:line="36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hyperlink w:anchor="_1fob9te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firstLine="0"/>
        <w:contextualSpacing w:val="0"/>
      </w:pPr>
      <w:hyperlink w:anchor="_1fob9te">
        <w:r w:rsidDel="00000000" w:rsidR="00000000" w:rsidRPr="00000000">
          <w:rPr>
            <w:color w:val="1155cc"/>
            <w:u w:val="single"/>
            <w:rtl w:val="0"/>
          </w:rPr>
          <w:t xml:space="preserve">Введение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3znysh7">
        <w:r w:rsidDel="00000000" w:rsidR="00000000" w:rsidRPr="00000000">
          <w:rPr>
            <w:color w:val="1155cc"/>
            <w:u w:val="single"/>
            <w:rtl w:val="0"/>
          </w:rPr>
          <w:t xml:space="preserve">Назначение документа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2et92p0">
        <w:r w:rsidDel="00000000" w:rsidR="00000000" w:rsidRPr="00000000">
          <w:rPr>
            <w:color w:val="1155cc"/>
            <w:u w:val="single"/>
            <w:rtl w:val="0"/>
          </w:rPr>
          <w:t xml:space="preserve">Целевая аудитория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tyjcwt">
        <w:r w:rsidDel="00000000" w:rsidR="00000000" w:rsidRPr="00000000">
          <w:rPr>
            <w:color w:val="1155cc"/>
            <w:u w:val="single"/>
            <w:rtl w:val="0"/>
          </w:rPr>
          <w:t xml:space="preserve">Нормативные документы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3dy6vkm">
        <w:r w:rsidDel="00000000" w:rsidR="00000000" w:rsidRPr="00000000">
          <w:rPr>
            <w:color w:val="1155cc"/>
            <w:u w:val="single"/>
            <w:rtl w:val="0"/>
          </w:rPr>
          <w:t xml:space="preserve">Описание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1t3h5sf">
        <w:r w:rsidDel="00000000" w:rsidR="00000000" w:rsidRPr="00000000">
          <w:rPr>
            <w:color w:val="1155cc"/>
            <w:u w:val="single"/>
            <w:rtl w:val="0"/>
          </w:rPr>
          <w:t xml:space="preserve">Назначение и Цель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4d34og8">
        <w:r w:rsidDel="00000000" w:rsidR="00000000" w:rsidRPr="00000000">
          <w:rPr>
            <w:color w:val="1155cc"/>
            <w:u w:val="single"/>
            <w:rtl w:val="0"/>
          </w:rPr>
          <w:t xml:space="preserve">Задачи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2s8eyo1">
        <w:r w:rsidDel="00000000" w:rsidR="00000000" w:rsidRPr="00000000">
          <w:rPr>
            <w:color w:val="1155cc"/>
            <w:u w:val="single"/>
            <w:rtl w:val="0"/>
          </w:rPr>
          <w:t xml:space="preserve">Объекты процесса и жизненный цикл объектов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17dp8vu">
        <w:r w:rsidDel="00000000" w:rsidR="00000000" w:rsidRPr="00000000">
          <w:rPr>
            <w:color w:val="1155cc"/>
            <w:u w:val="single"/>
            <w:rtl w:val="0"/>
          </w:rPr>
          <w:t xml:space="preserve">Приоритезация и классификация объектов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3rdcrjn">
        <w:r w:rsidDel="00000000" w:rsidR="00000000" w:rsidRPr="00000000">
          <w:rPr>
            <w:color w:val="1155cc"/>
            <w:u w:val="single"/>
            <w:rtl w:val="0"/>
          </w:rPr>
          <w:t xml:space="preserve">Входы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26in1rg">
        <w:r w:rsidDel="00000000" w:rsidR="00000000" w:rsidRPr="00000000">
          <w:rPr>
            <w:color w:val="1155cc"/>
            <w:u w:val="single"/>
            <w:rtl w:val="0"/>
          </w:rPr>
          <w:t xml:space="preserve">Выходы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lnxbz9">
        <w:r w:rsidDel="00000000" w:rsidR="00000000" w:rsidRPr="00000000">
          <w:rPr>
            <w:color w:val="1155cc"/>
            <w:u w:val="single"/>
            <w:rtl w:val="0"/>
          </w:rPr>
          <w:t xml:space="preserve">Перечень ролей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1ksv4uv">
        <w:r w:rsidDel="00000000" w:rsidR="00000000" w:rsidRPr="00000000">
          <w:rPr>
            <w:color w:val="1155cc"/>
            <w:u w:val="single"/>
            <w:rtl w:val="0"/>
          </w:rPr>
          <w:t xml:space="preserve">Перечень регламентов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44sinio">
        <w:r w:rsidDel="00000000" w:rsidR="00000000" w:rsidRPr="00000000">
          <w:rPr>
            <w:color w:val="1155cc"/>
            <w:u w:val="single"/>
            <w:rtl w:val="0"/>
          </w:rPr>
          <w:t xml:space="preserve">Метрики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2jxsxqh">
        <w:r w:rsidDel="00000000" w:rsidR="00000000" w:rsidRPr="00000000">
          <w:rPr>
            <w:color w:val="1155cc"/>
            <w:u w:val="single"/>
            <w:rtl w:val="0"/>
          </w:rPr>
          <w:t xml:space="preserve">Метрики производительности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_z337ya">
        <w:r w:rsidDel="00000000" w:rsidR="00000000" w:rsidRPr="00000000">
          <w:rPr>
            <w:color w:val="1155cc"/>
            <w:u w:val="single"/>
            <w:rtl w:val="0"/>
          </w:rPr>
          <w:t xml:space="preserve">Метрики качества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_3j2qqm3">
        <w:r w:rsidDel="00000000" w:rsidR="00000000" w:rsidRPr="00000000">
          <w:rPr>
            <w:color w:val="1155cc"/>
            <w:u w:val="single"/>
            <w:rtl w:val="0"/>
          </w:rPr>
          <w:t xml:space="preserve">Приложение 1. Формат отчета по метрикам процесса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065"/>
        </w:tabs>
        <w:contextualSpacing w:val="0"/>
      </w:pP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1"/>
        <w:numPr>
          <w:ilvl w:val="0"/>
          <w:numId w:val="12"/>
        </w:numPr>
        <w:contextualSpacing w:val="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Назначение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Данный документ описывает основные положения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 (далее – Процесса), включающие в себя цели, активности, роли, метрики процесса, и другую основную информацию.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Целевая аудитория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Целевая аудитория настоящего документа: менеджер процесса эксплуатации ИТ, руководители отделов администрирования, инженеры по эксплуатации программных продуктов, пользователи ИТ-услуг, [</w:t>
      </w:r>
      <w:r w:rsidDel="00000000" w:rsidR="00000000" w:rsidRPr="00000000">
        <w:rPr>
          <w:color w:val="000000"/>
          <w:highlight w:val="yellow"/>
          <w:rtl w:val="0"/>
        </w:rPr>
        <w:t xml:space="preserve">перечислить остальные целевые группы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Нормативные документы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Разработка настоящего документа проводилась с использованием следующей нормативной литературы, стандартов, практик, и других основополагающих документов, в том числе приказов и инструкций, принятых в Компании.</w:t>
      </w:r>
    </w:p>
    <w:tbl>
      <w:tblPr>
        <w:tblStyle w:val="Table4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4191"/>
        <w:gridCol w:w="1559"/>
        <w:gridCol w:w="3559"/>
        <w:tblGridChange w:id="0">
          <w:tblGrid>
            <w:gridCol w:w="771"/>
            <w:gridCol w:w="4191"/>
            <w:gridCol w:w="1559"/>
            <w:gridCol w:w="3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Версия / 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2"/>
        </w:numPr>
        <w:contextualSpacing w:val="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Описание процесса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Назначение и Цель процесса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Основной целью Процесса является [</w:t>
      </w:r>
      <w:r w:rsidDel="00000000" w:rsidR="00000000" w:rsidRPr="00000000">
        <w:rPr>
          <w:color w:val="000000"/>
          <w:highlight w:val="yellow"/>
          <w:rtl w:val="0"/>
        </w:rPr>
        <w:t xml:space="preserve">вписать цель процесса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Задачи процесса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выполнения своей цели Процесс выполняет следующие задачи: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120" w:line="288" w:lineRule="auto"/>
        <w:ind w:left="1854" w:hanging="360"/>
        <w:contextualSpacing w:val="1"/>
        <w:jc w:val="both"/>
        <w:rPr>
          <w:b w:val="0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rtl w:val="0"/>
        </w:rPr>
        <w:t xml:space="preserve">Задача №1;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120" w:line="288" w:lineRule="auto"/>
        <w:ind w:left="1854" w:hanging="360"/>
        <w:contextualSpacing w:val="1"/>
        <w:jc w:val="both"/>
        <w:rPr>
          <w:b w:val="0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rtl w:val="0"/>
        </w:rPr>
        <w:t xml:space="preserve">Задача №2;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120" w:line="288" w:lineRule="auto"/>
        <w:ind w:left="1854" w:hanging="360"/>
        <w:contextualSpacing w:val="1"/>
        <w:jc w:val="both"/>
        <w:rPr>
          <w:b w:val="0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rtl w:val="0"/>
        </w:rPr>
        <w:t xml:space="preserve">Задача №3.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Объекты процесса и жизненный цикл объектов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Объектами процесса являются сущности, жизненный цикл которых, полный или частичный, сопровождается при помощи настоящего процесса.</w:t>
      </w:r>
    </w:p>
    <w:tbl>
      <w:tblPr>
        <w:tblStyle w:val="Table5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3953"/>
        <w:gridCol w:w="2583"/>
        <w:tblGridChange w:id="0">
          <w:tblGrid>
            <w:gridCol w:w="771"/>
            <w:gridCol w:w="2773"/>
            <w:gridCol w:w="3953"/>
            <w:gridCol w:w="25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объекта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Статусы/атрибуты объекта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Описание/комментарии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Объект №1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Данный объект может находиться в одном из следующих статусов: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А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Б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В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Г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Д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Объект №2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Данный объект может находиться в одном из следующих статусов: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А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Б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В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Г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jc w:val="both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Статус Д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Далее представлена схема возможного перехода статусов [</w:t>
      </w:r>
      <w:r w:rsidDel="00000000" w:rsidR="00000000" w:rsidRPr="00000000">
        <w:rPr>
          <w:color w:val="000000"/>
          <w:highlight w:val="yellow"/>
          <w:rtl w:val="0"/>
        </w:rPr>
        <w:t xml:space="preserve">Объекта №1</w:t>
      </w:r>
      <w:r w:rsidDel="00000000" w:rsidR="00000000" w:rsidRPr="00000000">
        <w:rPr>
          <w:rtl w:val="0"/>
        </w:rPr>
        <w:t xml:space="preserve">] в системе автоматизации процесса.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876675" cy="21907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rtl w:val="0"/>
        </w:rPr>
        <w:t xml:space="preserve">Рис.1. Схема перехода статусов [</w:t>
      </w:r>
      <w:r w:rsidDel="00000000" w:rsidR="00000000" w:rsidRPr="00000000">
        <w:rPr>
          <w:i w:val="1"/>
          <w:color w:val="000000"/>
          <w:sz w:val="20"/>
          <w:szCs w:val="20"/>
          <w:highlight w:val="yellow"/>
          <w:rtl w:val="0"/>
        </w:rPr>
        <w:t xml:space="preserve">На примере Инцидента</w:t>
      </w:r>
      <w:r w:rsidDel="00000000" w:rsidR="00000000" w:rsidRPr="00000000">
        <w:rPr>
          <w:i w:val="1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Приоритезация и классификация объектов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88" w:lineRule="auto"/>
        <w:ind w:left="567" w:firstLine="566.9999999999999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rtl w:val="0"/>
        </w:rPr>
        <w:t xml:space="preserve">Развернутым текстом описываются основные принципы приоритезации и классификации объектов процесса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объекта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Объекта</w:t>
      </w:r>
      <w:r w:rsidDel="00000000" w:rsidR="00000000" w:rsidRPr="00000000">
        <w:rPr>
          <w:rtl w:val="0"/>
        </w:rPr>
        <w:t xml:space="preserve">] определяются следующие варианты Приоритетов:</w:t>
      </w:r>
    </w:p>
    <w:tbl>
      <w:tblPr>
        <w:tblStyle w:val="Table6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126"/>
        <w:gridCol w:w="6536"/>
        <w:tblGridChange w:id="0">
          <w:tblGrid>
            <w:gridCol w:w="959"/>
            <w:gridCol w:w="2126"/>
            <w:gridCol w:w="6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Приоритет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«1» -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приоритета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«2» -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приоритета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«3» -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приоритета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«4» -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приоритета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объекта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Объекта</w:t>
      </w:r>
      <w:r w:rsidDel="00000000" w:rsidR="00000000" w:rsidRPr="00000000">
        <w:rPr>
          <w:rtl w:val="0"/>
        </w:rPr>
        <w:t xml:space="preserve">] определяются следующие варианты Классификации:</w:t>
      </w:r>
    </w:p>
    <w:tbl>
      <w:tblPr>
        <w:tblStyle w:val="Table7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126"/>
        <w:gridCol w:w="6536"/>
        <w:tblGridChange w:id="0">
          <w:tblGrid>
            <w:gridCol w:w="959"/>
            <w:gridCol w:w="2126"/>
            <w:gridCol w:w="6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Классификация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Входы процесса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Входами процесса являются события, которые инициируют действия в рамках настоящего процесса. Входы процесса перечислены в следующей таблице.</w:t>
      </w:r>
    </w:p>
    <w:tbl>
      <w:tblPr>
        <w:tblStyle w:val="Table8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2835"/>
        <w:gridCol w:w="3701"/>
        <w:tblGridChange w:id="0">
          <w:tblGrid>
            <w:gridCol w:w="771"/>
            <w:gridCol w:w="2773"/>
            <w:gridCol w:w="2835"/>
            <w:gridCol w:w="37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Описание входа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Источник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Формат / 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источника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источника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источника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источника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источника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Вся информация оформляется в формате, указанном в соответствующей рабочей инструкции Процесса.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Выходы процесса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Выходами процесса являются результаты работы процесса. Выходы процесса описаны в следующей таблице.</w:t>
      </w:r>
    </w:p>
    <w:tbl>
      <w:tblPr>
        <w:tblStyle w:val="Table9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2835"/>
        <w:gridCol w:w="3701"/>
        <w:tblGridChange w:id="0">
          <w:tblGrid>
            <w:gridCol w:w="771"/>
            <w:gridCol w:w="2773"/>
            <w:gridCol w:w="2835"/>
            <w:gridCol w:w="37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Описание выхода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Потребитель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Формат/Комментарии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потребителя: сотрудника, ИТ-системы, внешней компании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выходной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потребителя: сотрудника, ИТ-системы, внешней компании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выходной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потребителя: сотрудника, ИТ-системы, внешней компании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выходной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потребителя: сотрудника, ИТ-системы, внешней компании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формата выходной информации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Перечень ролей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обеспечение работы процесса независимо от организационной структуры, в следующей таблице приведены роли, которые используются при работе процесса. Соответствие ролей и должностей/сотрудников описано в документе «Матрица соответствия ролей», входящем в состав документации по настоящему процессу.</w:t>
      </w:r>
    </w:p>
    <w:tbl>
      <w:tblPr>
        <w:tblStyle w:val="Table10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3119"/>
        <w:gridCol w:w="3417"/>
        <w:tblGridChange w:id="0">
          <w:tblGrid>
            <w:gridCol w:w="771"/>
            <w:gridCol w:w="2773"/>
            <w:gridCol w:w="3119"/>
            <w:gridCol w:w="34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роли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Функции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Требуемая квалификация и специализация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Владелец Процесса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Устанавливает перечень метрик процесса и их целевые значения. Принимает решение о выделении ресурсов для работы процесса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Знания в области ITSM на уровне «ITIL Foundation».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Менеджер Процесса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Отвечает за выполнение метрик качества процесса, формирует и предоставляет отчеты Владельцу процесса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bookmarkStart w:colFirst="0" w:colLast="0" w:name="_35nkun2" w:id="14"/>
            <w:bookmarkEnd w:id="14"/>
            <w:r w:rsidDel="00000000" w:rsidR="00000000" w:rsidRPr="00000000">
              <w:rPr>
                <w:rtl w:val="0"/>
              </w:rPr>
              <w:t xml:space="preserve">Знания в области ITSM на уровне «ITIL Foundation».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Роль №3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компетенций для выполнения данной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Роль  №4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компетенций для выполнения данной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Роль №5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компетенций для выполнения данной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Роль №6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Описание компетенций для выполнения данной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Перечень регламентов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Процессная деятельность в рамках  Процесса разделяется на следующие регламенты.</w:t>
      </w:r>
    </w:p>
    <w:tbl>
      <w:tblPr>
        <w:tblStyle w:val="Table11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3119"/>
        <w:gridCol w:w="3417"/>
        <w:tblGridChange w:id="0">
          <w:tblGrid>
            <w:gridCol w:w="771"/>
            <w:gridCol w:w="2773"/>
            <w:gridCol w:w="3119"/>
            <w:gridCol w:w="34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регламента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Входы/Выходы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 из перечня входов настоящего процесса</w:t>
            </w:r>
            <w:r w:rsidDel="00000000" w:rsidR="00000000" w:rsidRPr="00000000">
              <w:rPr>
                <w:rtl w:val="0"/>
              </w:rPr>
              <w:t xml:space="preserve">] /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 из перечня выходов настоящего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 из перечня входов настоящего процесса</w:t>
            </w:r>
            <w:r w:rsidDel="00000000" w:rsidR="00000000" w:rsidRPr="00000000">
              <w:rPr>
                <w:rtl w:val="0"/>
              </w:rPr>
              <w:t xml:space="preserve">] /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 из перечня выходов настоящего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 из перечня входов настоящего процесса</w:t>
            </w:r>
            <w:r w:rsidDel="00000000" w:rsidR="00000000" w:rsidRPr="00000000">
              <w:rPr>
                <w:rtl w:val="0"/>
              </w:rPr>
              <w:t xml:space="preserve">] /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 из перечня выходов настоящего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pStyle w:val="Heading1"/>
        <w:ind w:left="0"/>
        <w:contextualSpacing w:val="0"/>
      </w:pPr>
      <w:bookmarkStart w:colFirst="0" w:colLast="0" w:name="_2h2majwyide3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2"/>
        </w:numPr>
        <w:contextualSpacing w:val="1"/>
        <w:rPr/>
      </w:pPr>
      <w:bookmarkStart w:colFirst="0" w:colLast="0" w:name="_44sinio" w:id="17"/>
      <w:bookmarkEnd w:id="17"/>
      <w:r w:rsidDel="00000000" w:rsidR="00000000" w:rsidRPr="00000000">
        <w:rPr>
          <w:rtl w:val="0"/>
        </w:rPr>
        <w:t xml:space="preserve">Метрики процесса</w:t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2jxsxqh" w:id="18"/>
      <w:bookmarkEnd w:id="18"/>
      <w:r w:rsidDel="00000000" w:rsidR="00000000" w:rsidRPr="00000000">
        <w:rPr>
          <w:rtl w:val="0"/>
        </w:rPr>
        <w:t xml:space="preserve">Метрики производительности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Метрики производительности показывают активность работы Процесса и являются исходной информацией для расчета количества ресурсов для обеспечения работы Процесса.</w:t>
      </w:r>
    </w:p>
    <w:tbl>
      <w:tblPr>
        <w:tblStyle w:val="Table12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348"/>
        <w:gridCol w:w="2126"/>
        <w:gridCol w:w="2410"/>
        <w:gridCol w:w="2425"/>
        <w:tblGridChange w:id="0">
          <w:tblGrid>
            <w:gridCol w:w="771"/>
            <w:gridCol w:w="2348"/>
            <w:gridCol w:w="2126"/>
            <w:gridCol w:w="2410"/>
            <w:gridCol w:w="24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метрики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Дискретность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12"/>
        </w:numPr>
        <w:rPr/>
      </w:pPr>
      <w:bookmarkStart w:colFirst="0" w:colLast="0" w:name="_z337ya" w:id="19"/>
      <w:bookmarkEnd w:id="19"/>
      <w:r w:rsidDel="00000000" w:rsidR="00000000" w:rsidRPr="00000000">
        <w:rPr>
          <w:rtl w:val="0"/>
        </w:rPr>
        <w:t xml:space="preserve">Метрики качества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Метрики качества являются показателями соответствия результатов работы процесса требуемым показателям. Целевые значения метрик качества устанавливаются Владельцем Процесса. Менеджер процесса должен получать данные метрики и отчитываться перед Владельцем процесса на регулярной основе.</w:t>
      </w:r>
    </w:p>
    <w:tbl>
      <w:tblPr>
        <w:tblStyle w:val="Table13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336"/>
        <w:gridCol w:w="2126"/>
        <w:gridCol w:w="1281"/>
        <w:gridCol w:w="1177"/>
        <w:gridCol w:w="2389"/>
        <w:tblGridChange w:id="0">
          <w:tblGrid>
            <w:gridCol w:w="771"/>
            <w:gridCol w:w="2336"/>
            <w:gridCol w:w="2126"/>
            <w:gridCol w:w="1281"/>
            <w:gridCol w:w="1177"/>
            <w:gridCol w:w="23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метрики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Дискретность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Целевое значение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Числовое значение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Числовое значение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Числовое значение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метрики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неделя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ежедневно, или ежегодно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Шт.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Или время, или процент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Числовое значение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pStyle w:val="Heading1"/>
        <w:ind w:left="0"/>
        <w:contextualSpacing w:val="0"/>
      </w:pPr>
      <w:bookmarkStart w:colFirst="0" w:colLast="0" w:name="_ca0j4dv0ct0o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2"/>
        </w:numPr>
        <w:contextualSpacing w:val="1"/>
        <w:rPr/>
      </w:pPr>
      <w:bookmarkStart w:colFirst="0" w:colLast="0" w:name="_3j2qqm3" w:id="21"/>
      <w:bookmarkEnd w:id="21"/>
      <w:r w:rsidDel="00000000" w:rsidR="00000000" w:rsidRPr="00000000">
        <w:rPr>
          <w:rtl w:val="0"/>
        </w:rPr>
        <w:t xml:space="preserve">Приложение 1. Формат отчета по метрикам процесса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[Начало шаблона]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Отчет по метрикам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 за период с [Дата Начала] по [Дата Окончания].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Дата составления Отчета [Дата]</w:t>
      </w:r>
    </w:p>
    <w:tbl>
      <w:tblPr>
        <w:tblStyle w:val="Table14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6"/>
        <w:gridCol w:w="2039"/>
        <w:gridCol w:w="1689"/>
        <w:gridCol w:w="1551"/>
        <w:gridCol w:w="1457"/>
        <w:gridCol w:w="2548"/>
        <w:tblGridChange w:id="0">
          <w:tblGrid>
            <w:gridCol w:w="796"/>
            <w:gridCol w:w="2039"/>
            <w:gridCol w:w="1689"/>
            <w:gridCol w:w="1551"/>
            <w:gridCol w:w="1457"/>
            <w:gridCol w:w="25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Название метрики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Значение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Целевое значение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% выполнения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Документ подготовлен [Ф.И.О Менеджера Процесса]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[Окончание шаблона]</w:t>
      </w:r>
    </w:p>
    <w:sectPr>
      <w:headerReference r:id="rId7" w:type="default"/>
      <w:footerReference r:id="rId8" w:type="default"/>
      <w:pgSz w:h="15840" w:w="12240"/>
      <w:pgMar w:bottom="1134" w:top="1134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6"/>
      <w:bidi w:val="0"/>
      <w:tblW w:w="9621.0" w:type="dxa"/>
      <w:jc w:val="left"/>
      <w:tblInd w:w="45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79"/>
      <w:gridCol w:w="3179"/>
      <w:gridCol w:w="3263"/>
      <w:tblGridChange w:id="0">
        <w:tblGrid>
          <w:gridCol w:w="3179"/>
          <w:gridCol w:w="3179"/>
          <w:gridCol w:w="326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Страница </w:t>
          </w: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720" w:before="1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5"/>
      <w:bidi w:val="0"/>
      <w:tblW w:w="11341.0" w:type="dxa"/>
      <w:jc w:val="left"/>
      <w:tblInd w:w="-71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11"/>
      <w:gridCol w:w="3402"/>
      <w:gridCol w:w="3828"/>
      <w:tblGridChange w:id="0">
        <w:tblGrid>
          <w:gridCol w:w="4111"/>
          <w:gridCol w:w="3402"/>
          <w:gridCol w:w="3828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Положение о процессе  [</w:t>
          </w:r>
          <w:r w:rsidDel="00000000" w:rsidR="00000000" w:rsidRPr="00000000">
            <w:rPr>
              <w:rFonts w:ascii="Calibri" w:cs="Calibri" w:eastAsia="Calibri" w:hAnsi="Calibri"/>
              <w:b w:val="0"/>
              <w:color w:val="000000"/>
              <w:sz w:val="24"/>
              <w:szCs w:val="24"/>
              <w:highlight w:val="yellow"/>
              <w:rtl w:val="0"/>
            </w:rPr>
            <w:t xml:space="preserve">Название процесса</w:t>
          </w: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]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rtl w:val="0"/>
            </w:rPr>
            <w:t xml:space="preserve">[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highlight w:val="yellow"/>
              <w:rtl w:val="0"/>
            </w:rPr>
            <w:t xml:space="preserve">Логотип Компании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ind w:left="0" w:firstLine="0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1854" w:firstLine="149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cs="Arial" w:eastAsia="Arial" w:hAnsi="Arial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88" w:lineRule="auto"/>
        <w:ind w:left="567" w:right="0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88" w:lineRule="auto"/>
      <w:ind w:left="432" w:hanging="432"/>
      <w:contextualSpacing w:val="1"/>
      <w:jc w:val="both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88" w:lineRule="auto"/>
      <w:ind w:left="576" w:hanging="576"/>
      <w:jc w:val="both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720" w:hanging="720"/>
      <w:jc w:val="both"/>
    </w:pPr>
    <w:rPr>
      <w:rFonts w:ascii="Calibri" w:cs="Calibri" w:eastAsia="Calibri" w:hAnsi="Calibri"/>
      <w:b w:val="1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71" w:lineRule="auto"/>
      <w:ind w:left="864" w:hanging="864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="271" w:lineRule="auto"/>
      <w:ind w:left="1008" w:hanging="1008"/>
      <w:jc w:val="both"/>
    </w:pPr>
    <w:rPr>
      <w:rFonts w:ascii="Calibri" w:cs="Calibri" w:eastAsia="Calibri" w:hAnsi="Calibri"/>
      <w:b w:val="0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="271" w:lineRule="auto"/>
      <w:ind w:left="1152" w:hanging="1152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120" w:line="240" w:lineRule="auto"/>
      <w:ind w:left="567" w:firstLine="567"/>
      <w:jc w:val="both"/>
    </w:pPr>
    <w:rPr>
      <w:rFonts w:ascii="Calibri" w:cs="Calibri" w:eastAsia="Calibri" w:hAnsi="Calibri"/>
      <w:b w:val="0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120" w:line="288" w:lineRule="auto"/>
      <w:ind w:left="567" w:firstLine="567"/>
      <w:jc w:val="both"/>
    </w:pPr>
    <w:rPr>
      <w:rFonts w:ascii="Calibri" w:cs="Calibri" w:eastAsia="Calibri" w:hAnsi="Calibri"/>
      <w:b w:val="0"/>
      <w:i w:val="1"/>
      <w:smallCaps w:val="1"/>
      <w:color w:val="666666"/>
      <w:sz w:val="28"/>
      <w:szCs w:val="28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#_Toc247953547" TargetMode="External"/><Relationship Id="rId6" Type="http://schemas.openxmlformats.org/officeDocument/2006/relationships/image" Target="media/image0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